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16F19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80FDB96" w14:textId="77777777" w:rsidR="00BA7AC9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Programa</w:t>
      </w:r>
      <w:proofErr w:type="spellEnd"/>
    </w:p>
    <w:p w14:paraId="4367EA99" w14:textId="77777777" w:rsidR="00BA7AC9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Escuelas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judiciales</w:t>
      </w:r>
      <w:proofErr w:type="spellEnd"/>
      <w:r>
        <w:rPr>
          <w:rFonts w:ascii="Arial" w:eastAsia="Arial" w:hAnsi="Arial" w:cs="Arial"/>
          <w:b/>
          <w:sz w:val="22"/>
          <w:szCs w:val="22"/>
          <w:u w:val="single"/>
        </w:rPr>
        <w:t xml:space="preserve">,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comunitarias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sz w:val="22"/>
          <w:szCs w:val="22"/>
        </w:rPr>
        <w:t>autónomas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</w:p>
    <w:p w14:paraId="049FD903" w14:textId="77777777" w:rsidR="00BA7AC9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Agenda de la </w:t>
      </w:r>
      <w:proofErr w:type="spellStart"/>
      <w:r>
        <w:rPr>
          <w:rFonts w:ascii="Arial" w:eastAsia="Arial" w:hAnsi="Arial" w:cs="Arial"/>
          <w:sz w:val="22"/>
          <w:szCs w:val="22"/>
        </w:rPr>
        <w:t>reunión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Consejo </w:t>
      </w:r>
      <w:proofErr w:type="spellStart"/>
      <w:r>
        <w:rPr>
          <w:rFonts w:ascii="Arial" w:eastAsia="Arial" w:hAnsi="Arial" w:cs="Arial"/>
          <w:sz w:val="22"/>
          <w:szCs w:val="22"/>
        </w:rPr>
        <w:t>Asesor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Estudiantes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Inglés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</w:t>
      </w:r>
    </w:p>
    <w:p w14:paraId="0354EB03" w14:textId="77777777" w:rsidR="00BA7AC9" w:rsidRDefault="00BA7AC9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6BC877ED" w14:textId="77777777" w:rsidR="00BA7AC9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2248 Tienda Dr., Lodi </w:t>
      </w:r>
    </w:p>
    <w:p w14:paraId="04ADB4E4" w14:textId="77777777" w:rsidR="00BA7AC9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24 de </w:t>
      </w:r>
      <w:proofErr w:type="spellStart"/>
      <w:r>
        <w:rPr>
          <w:rFonts w:ascii="Arial" w:eastAsia="Arial" w:hAnsi="Arial" w:cs="Arial"/>
          <w:sz w:val="22"/>
          <w:szCs w:val="22"/>
        </w:rPr>
        <w:t>octubre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2024, 4:30 pm</w:t>
      </w:r>
    </w:p>
    <w:p w14:paraId="170147B4" w14:textId="77777777" w:rsidR="00BA7AC9" w:rsidRDefault="00BA7AC9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272872B3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BA7AC9" w14:paraId="51FE707B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4FA3E" w14:textId="77777777" w:rsidR="00BA7A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Punto del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del día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105BA" w14:textId="77777777" w:rsidR="00BA7A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artículo</w:t>
            </w:r>
            <w:proofErr w:type="spellEnd"/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564F3" w14:textId="77777777" w:rsidR="00BA7A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Persona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Responsable</w:t>
            </w:r>
            <w:proofErr w:type="spellEnd"/>
          </w:p>
        </w:tc>
      </w:tr>
      <w:tr w:rsidR="00BA7AC9" w14:paraId="5FEFDAA9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F87D" w14:textId="77777777" w:rsidR="00BA7AC9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Bienvenida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presentaciones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(5 min)</w:t>
            </w:r>
          </w:p>
          <w:p w14:paraId="63A28E74" w14:textId="77777777" w:rsidR="00BA7AC9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H. Calderón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inició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a las 4:40 pm,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dirigió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mensaje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bienvenida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hizo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todos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presentaran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FD713" w14:textId="77777777" w:rsidR="00BA7A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D310" w14:textId="77777777" w:rsidR="00BA7AC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A7AC9" w14:paraId="71733CD7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7B09" w14:textId="77777777" w:rsidR="00BA7AC9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ELAC y las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funcionarios</w:t>
            </w:r>
            <w:proofErr w:type="spellEnd"/>
          </w:p>
          <w:p w14:paraId="3410C27D" w14:textId="77777777" w:rsidR="00BA7AC9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Reglas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Robert</w:t>
            </w:r>
          </w:p>
          <w:p w14:paraId="0202146C" w14:textId="77777777" w:rsidR="00BA7AC9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H. Calderón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entregó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diapositivas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folletos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informativos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ELAC,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roles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y las Reglas de Orden de Robert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mientras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explicaba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uno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63300" w14:textId="77777777" w:rsidR="00BA7AC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F5095" w14:textId="77777777" w:rsidR="00BA7AC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A7AC9" w14:paraId="559FC32D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06B4" w14:textId="77777777" w:rsidR="00BA7AC9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Nominaciones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elecciones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funcionarios</w:t>
            </w:r>
            <w:proofErr w:type="spellEnd"/>
          </w:p>
          <w:p w14:paraId="1BF8184F" w14:textId="77777777" w:rsidR="00BA7AC9" w:rsidRDefault="0000000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Presidente,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Vicepresidente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Secretario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Representante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DELAC</w:t>
            </w:r>
          </w:p>
          <w:p w14:paraId="17C95E5A" w14:textId="77777777" w:rsidR="00BA7AC9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No hay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suficientes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miembros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presentes</w:t>
            </w:r>
            <w:proofErr w:type="spellEnd"/>
          </w:p>
          <w:p w14:paraId="23355965" w14:textId="77777777" w:rsidR="00BA7AC9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deberá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posponerse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hasta que se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alcance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quórum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34218" w14:textId="77777777" w:rsidR="00BA7A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Votación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B7AB9" w14:textId="77777777" w:rsidR="00BA7AC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A7AC9" w14:paraId="346F30E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F897C" w14:textId="77777777" w:rsidR="00BA7AC9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Proporcionar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comentarios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sobre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LCAP/SPSA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apoyar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081A48B8" w14:textId="77777777" w:rsidR="00BA7AC9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Tema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pospuesto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hasta que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haya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miembros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presentes</w:t>
            </w:r>
            <w:proofErr w:type="spellEnd"/>
          </w:p>
          <w:p w14:paraId="73647942" w14:textId="77777777" w:rsidR="00BA7AC9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H. Calderón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revisó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brevemente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metas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acciones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LCPA y SPSA con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asistentes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CBE94" w14:textId="77777777" w:rsidR="00BA7A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Votación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8194B" w14:textId="77777777" w:rsidR="00BA7AC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A7AC9" w14:paraId="332CA763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31164" w14:textId="77777777" w:rsidR="00BA7AC9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Actualizaciones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anuncios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programa</w:t>
            </w:r>
            <w:proofErr w:type="spellEnd"/>
          </w:p>
          <w:p w14:paraId="78AEE126" w14:textId="77777777" w:rsidR="00BA7AC9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Aplazado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hasta la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próxima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reunión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5501" w14:textId="77777777" w:rsidR="00BA7AC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FE46" w14:textId="77777777" w:rsidR="00BA7AC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A7AC9" w14:paraId="20465840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406E" w14:textId="77777777" w:rsidR="00BA7AC9" w:rsidRDefault="00000000">
            <w:pPr>
              <w:widowControl w:val="0"/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Comentario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público</w:t>
            </w:r>
            <w:proofErr w:type="spellEnd"/>
          </w:p>
          <w:p w14:paraId="4A9A9008" w14:textId="77777777" w:rsidR="00BA7AC9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Sin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comentarios</w:t>
            </w:r>
            <w:proofErr w:type="spellEnd"/>
          </w:p>
          <w:p w14:paraId="2694551B" w14:textId="77777777" w:rsidR="00BA7AC9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miembros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se les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hicieron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siguientes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dieron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respuestas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:</w:t>
            </w:r>
          </w:p>
          <w:p w14:paraId="2391AA40" w14:textId="77777777" w:rsidR="00BA7AC9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¿Por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viniste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hoy?</w:t>
            </w:r>
          </w:p>
          <w:p w14:paraId="263D30FE" w14:textId="77777777" w:rsidR="00BA7AC9" w:rsidRDefault="00000000">
            <w:pPr>
              <w:widowControl w:val="0"/>
              <w:numPr>
                <w:ilvl w:val="1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Monica: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Estoy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aquí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apoyar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escuela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aprender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Siento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que es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importante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para la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educación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de mi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hijo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Seré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cualquier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rol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necesites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.</w:t>
            </w:r>
          </w:p>
          <w:p w14:paraId="148D4EA7" w14:textId="77777777" w:rsidR="00BA7AC9" w:rsidRDefault="00000000">
            <w:pPr>
              <w:widowControl w:val="0"/>
              <w:numPr>
                <w:ilvl w:val="1"/>
                <w:numId w:val="3"/>
              </w:numPr>
              <w:spacing w:line="276" w:lineRule="auto"/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Rosie: </w:t>
            </w:r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Para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apoyar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todo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lo que ha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hecho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escuela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, vale la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pena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dedicar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mi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tiempo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. A mi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hija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le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está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yendo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muy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bien y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acaba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obtener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certificado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montacargas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.</w:t>
            </w:r>
          </w:p>
          <w:p w14:paraId="0C0F0FFF" w14:textId="77777777" w:rsidR="00BA7AC9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Fueron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beneficiosos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recordatorios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texto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ELAC?</w:t>
            </w:r>
          </w:p>
          <w:p w14:paraId="38E56D5F" w14:textId="77777777" w:rsidR="00BA7AC9" w:rsidRDefault="00000000">
            <w:pPr>
              <w:widowControl w:val="0"/>
              <w:numPr>
                <w:ilvl w:val="1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Rosie: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Realmente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útil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año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pasado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nunca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me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enteré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ninguna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Quiero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participar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pero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necesito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saberlo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hacerlo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.</w:t>
            </w:r>
          </w:p>
          <w:p w14:paraId="54A1B724" w14:textId="77777777" w:rsidR="00BA7AC9" w:rsidRDefault="00000000">
            <w:pPr>
              <w:widowControl w:val="0"/>
              <w:numPr>
                <w:ilvl w:val="1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Monica: </w:t>
            </w:r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Go ahead and keep texting. It is no bother. Life gets busy. </w:t>
            </w:r>
          </w:p>
          <w:p w14:paraId="5AFBD3EA" w14:textId="77777777" w:rsidR="00BA7AC9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Está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interesado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otras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oportunidades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participación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?</w:t>
            </w:r>
          </w:p>
          <w:p w14:paraId="09FDB12C" w14:textId="77777777" w:rsidR="00BA7AC9" w:rsidRDefault="00000000">
            <w:pPr>
              <w:widowControl w:val="0"/>
              <w:numPr>
                <w:ilvl w:val="1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Rosie: ¡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Sí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! </w:t>
            </w:r>
          </w:p>
          <w:p w14:paraId="64828D72" w14:textId="77777777" w:rsidR="00BA7AC9" w:rsidRDefault="00000000">
            <w:pPr>
              <w:widowControl w:val="0"/>
              <w:numPr>
                <w:ilvl w:val="1"/>
                <w:numId w:val="3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Monica: ¡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Sí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!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92B8C" w14:textId="77777777" w:rsidR="00BA7AC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9198" w14:textId="77777777" w:rsidR="00BA7AC9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Presidente</w:t>
            </w:r>
          </w:p>
        </w:tc>
      </w:tr>
      <w:tr w:rsidR="00BA7AC9" w14:paraId="56EDECDE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45588" w14:textId="77777777" w:rsidR="00BA7A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próxima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determinar</w:t>
            </w:r>
            <w:proofErr w:type="spellEnd"/>
          </w:p>
          <w:p w14:paraId="32422AC8" w14:textId="77777777" w:rsidR="00BA7AC9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19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noviembre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2024 a las 17:30 horas</w:t>
            </w:r>
          </w:p>
          <w:p w14:paraId="2F701578" w14:textId="77777777" w:rsidR="00BA7AC9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dijeron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hora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inicio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tarde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permitiría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a las personas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terminar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jornada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laboral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47C20" w14:textId="77777777" w:rsidR="00BA7A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Discusión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AC82B" w14:textId="77777777" w:rsidR="00BA7AC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Grupo</w:t>
            </w:r>
          </w:p>
        </w:tc>
      </w:tr>
    </w:tbl>
    <w:p w14:paraId="00A4D2ED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E3C6C25" w14:textId="77777777" w:rsidR="00BA7AC9" w:rsidRDefault="00000000">
      <w:p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Miembros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presentes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>:</w:t>
      </w:r>
    </w:p>
    <w:p w14:paraId="7F0D9B0F" w14:textId="77777777" w:rsidR="00BA7AC9" w:rsidRDefault="00000000">
      <w:pPr>
        <w:numPr>
          <w:ilvl w:val="0"/>
          <w:numId w:val="8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Rosaura “Rosie” R. (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vía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zoom)</w:t>
      </w:r>
    </w:p>
    <w:p w14:paraId="48028F07" w14:textId="77777777" w:rsidR="00BA7AC9" w:rsidRDefault="00000000">
      <w:pPr>
        <w:numPr>
          <w:ilvl w:val="0"/>
          <w:numId w:val="8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Mónica A. (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persona)</w:t>
      </w:r>
    </w:p>
    <w:p w14:paraId="2535CDB2" w14:textId="77777777" w:rsidR="00BA7AC9" w:rsidRDefault="00BA7AC9">
      <w:p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</w:p>
    <w:p w14:paraId="1C20EA73" w14:textId="77777777" w:rsidR="00BA7AC9" w:rsidRDefault="00000000">
      <w:p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Otras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asistentes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>:</w:t>
      </w:r>
    </w:p>
    <w:p w14:paraId="35CF0DE0" w14:textId="77777777" w:rsidR="00BA7AC9" w:rsidRDefault="00000000">
      <w:pPr>
        <w:numPr>
          <w:ilvl w:val="0"/>
          <w:numId w:val="7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J. Boyd</w:t>
      </w:r>
    </w:p>
    <w:p w14:paraId="63542AE1" w14:textId="77777777" w:rsidR="00BA7AC9" w:rsidRDefault="00000000">
      <w:pPr>
        <w:numPr>
          <w:ilvl w:val="0"/>
          <w:numId w:val="7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J. Jauregui</w:t>
      </w:r>
    </w:p>
    <w:p w14:paraId="2EFDF825" w14:textId="77777777" w:rsidR="00BA7AC9" w:rsidRDefault="00000000">
      <w:pPr>
        <w:numPr>
          <w:ilvl w:val="0"/>
          <w:numId w:val="7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H. Calderon</w:t>
      </w:r>
    </w:p>
    <w:p w14:paraId="60256753" w14:textId="77777777" w:rsidR="00BA7AC9" w:rsidRDefault="00000000">
      <w:pPr>
        <w:numPr>
          <w:ilvl w:val="0"/>
          <w:numId w:val="7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A.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Arouza</w:t>
      </w:r>
      <w:proofErr w:type="spellEnd"/>
    </w:p>
    <w:p w14:paraId="15F9CAB9" w14:textId="77777777" w:rsidR="00BA7AC9" w:rsidRDefault="00000000">
      <w:pPr>
        <w:numPr>
          <w:ilvl w:val="0"/>
          <w:numId w:val="7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L. Clark </w:t>
      </w:r>
    </w:p>
    <w:p w14:paraId="2AE2E071" w14:textId="77777777" w:rsidR="00BA7AC9" w:rsidRDefault="00BA7AC9">
      <w:p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</w:p>
    <w:p w14:paraId="5CC92298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B410F5D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9F73D12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CEED706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1BBC1D9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B084BF0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856398A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EEA26A4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7D954AB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791FDF6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6C8980A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87D9106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4316168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5729E89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938B9BF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03AB545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748EC96" w14:textId="77777777" w:rsidR="00BA7AC9" w:rsidRDefault="00BA7AC9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BA7AC9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2F04F" w14:textId="77777777" w:rsidR="00334811" w:rsidRDefault="00334811">
      <w:r>
        <w:separator/>
      </w:r>
    </w:p>
  </w:endnote>
  <w:endnote w:type="continuationSeparator" w:id="0">
    <w:p w14:paraId="41576994" w14:textId="77777777" w:rsidR="00334811" w:rsidRDefault="0033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F797" w14:textId="77777777" w:rsidR="00BA7AC9" w:rsidRDefault="00BA7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F53C" w14:textId="77777777" w:rsidR="00BA7AC9" w:rsidRDefault="00BA7A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3750A" w14:textId="77777777" w:rsidR="00334811" w:rsidRDefault="00334811">
      <w:r>
        <w:separator/>
      </w:r>
    </w:p>
  </w:footnote>
  <w:footnote w:type="continuationSeparator" w:id="0">
    <w:p w14:paraId="2AC87DE0" w14:textId="77777777" w:rsidR="00334811" w:rsidRDefault="00334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B0E9F" w14:textId="77777777" w:rsidR="00BA7AC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0DFC6478" wp14:editId="26A70E16">
          <wp:simplePos x="0" y="0"/>
          <wp:positionH relativeFrom="margin">
            <wp:posOffset>-916934</wp:posOffset>
          </wp:positionH>
          <wp:positionV relativeFrom="margin">
            <wp:posOffset>-1187561</wp:posOffset>
          </wp:positionV>
          <wp:extent cx="7757616" cy="10039317"/>
          <wp:effectExtent l="0" t="0" r="0" b="0"/>
          <wp:wrapNone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8125" w14:textId="77777777" w:rsidR="00BA7AC9" w:rsidRDefault="00BA7A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20B1"/>
    <w:multiLevelType w:val="multilevel"/>
    <w:tmpl w:val="A36880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150134"/>
    <w:multiLevelType w:val="multilevel"/>
    <w:tmpl w:val="B02029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A2648E"/>
    <w:multiLevelType w:val="multilevel"/>
    <w:tmpl w:val="D4C401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D6972C8"/>
    <w:multiLevelType w:val="multilevel"/>
    <w:tmpl w:val="8C3C6B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B74A51"/>
    <w:multiLevelType w:val="multilevel"/>
    <w:tmpl w:val="B53088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ADE3BFA"/>
    <w:multiLevelType w:val="multilevel"/>
    <w:tmpl w:val="2F1A6D9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B353F58"/>
    <w:multiLevelType w:val="multilevel"/>
    <w:tmpl w:val="99689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3F33AE5"/>
    <w:multiLevelType w:val="multilevel"/>
    <w:tmpl w:val="49862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AA2602D"/>
    <w:multiLevelType w:val="multilevel"/>
    <w:tmpl w:val="C400C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F0B05D8"/>
    <w:multiLevelType w:val="multilevel"/>
    <w:tmpl w:val="C2166A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98142032">
    <w:abstractNumId w:val="9"/>
  </w:num>
  <w:num w:numId="2" w16cid:durableId="50733278">
    <w:abstractNumId w:val="5"/>
  </w:num>
  <w:num w:numId="3" w16cid:durableId="942343315">
    <w:abstractNumId w:val="1"/>
  </w:num>
  <w:num w:numId="4" w16cid:durableId="1676567132">
    <w:abstractNumId w:val="2"/>
  </w:num>
  <w:num w:numId="5" w16cid:durableId="513804610">
    <w:abstractNumId w:val="4"/>
  </w:num>
  <w:num w:numId="6" w16cid:durableId="2105689209">
    <w:abstractNumId w:val="6"/>
  </w:num>
  <w:num w:numId="7" w16cid:durableId="934290194">
    <w:abstractNumId w:val="0"/>
  </w:num>
  <w:num w:numId="8" w16cid:durableId="1903517966">
    <w:abstractNumId w:val="7"/>
  </w:num>
  <w:num w:numId="9" w16cid:durableId="1090810678">
    <w:abstractNumId w:val="8"/>
  </w:num>
  <w:num w:numId="10" w16cid:durableId="138085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9"/>
    <w:rsid w:val="000458E8"/>
    <w:rsid w:val="0031059A"/>
    <w:rsid w:val="00334811"/>
    <w:rsid w:val="00AE6D96"/>
    <w:rsid w:val="00BA7AC9"/>
    <w:rsid w:val="00D53CF1"/>
    <w:rsid w:val="00D8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70DEE"/>
  <w15:docId w15:val="{55C5AD19-11EA-49E3-9824-99CBDBEF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2024-10-30T23:12:00Z</dcterms:created>
  <dcterms:modified xsi:type="dcterms:W3CDTF">2024-10-30T23:12:00Z</dcterms:modified>
</cp:coreProperties>
</file>